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23703" w14:textId="77777777" w:rsidR="006B50E5" w:rsidRPr="0007000C" w:rsidRDefault="009A3ECF" w:rsidP="009A3ECF">
      <w:pPr>
        <w:spacing w:after="240"/>
        <w:jc w:val="center"/>
        <w:rPr>
          <w:b/>
        </w:rPr>
      </w:pPr>
      <w:r w:rsidRPr="0007000C">
        <w:rPr>
          <w:b/>
        </w:rPr>
        <w:t>Gwarancja</w:t>
      </w:r>
    </w:p>
    <w:p w14:paraId="74B55A0F" w14:textId="2F46676B" w:rsidR="009A3ECF" w:rsidRPr="0007000C" w:rsidRDefault="009538B8" w:rsidP="009A3ECF">
      <w:pPr>
        <w:spacing w:after="480"/>
        <w:jc w:val="both"/>
      </w:pPr>
      <w:r>
        <w:t>Piotr Mielańczuk, prowadzący</w:t>
      </w:r>
      <w:r w:rsidR="009A3ECF" w:rsidRPr="0007000C">
        <w:t xml:space="preserve"> działalność gospodarczą pod firmą „</w:t>
      </w:r>
      <w:r>
        <w:t>IGNIF Piotr</w:t>
      </w:r>
      <w:r w:rsidR="009A3ECF" w:rsidRPr="0007000C">
        <w:t xml:space="preserve"> Mielańczuk” z siedzibą w Koszalinie (75-430), ul. Fińska 74, wpisana do Centralnej Ewidencji i Informacji o Działalności Gospodarczej, posługująca się numerem NIP </w:t>
      </w:r>
      <w:r w:rsidR="009A3ECF" w:rsidRPr="0007000C">
        <w:rPr>
          <w:rFonts w:cs="Helvetica"/>
          <w:color w:val="262626"/>
        </w:rPr>
        <w:t>669-</w:t>
      </w:r>
      <w:r>
        <w:rPr>
          <w:rFonts w:cs="Helvetica"/>
          <w:color w:val="262626"/>
        </w:rPr>
        <w:t>241</w:t>
      </w:r>
      <w:r w:rsidR="009A3ECF" w:rsidRPr="0007000C">
        <w:rPr>
          <w:rFonts w:cs="Helvetica"/>
          <w:color w:val="262626"/>
        </w:rPr>
        <w:t>-</w:t>
      </w:r>
      <w:r>
        <w:rPr>
          <w:rFonts w:cs="Helvetica"/>
          <w:color w:val="262626"/>
        </w:rPr>
        <w:t>95</w:t>
      </w:r>
      <w:r w:rsidR="009A3ECF" w:rsidRPr="0007000C">
        <w:rPr>
          <w:rFonts w:cs="Helvetica"/>
          <w:color w:val="262626"/>
        </w:rPr>
        <w:t>-</w:t>
      </w:r>
      <w:r>
        <w:rPr>
          <w:rFonts w:cs="Helvetica"/>
          <w:color w:val="262626"/>
        </w:rPr>
        <w:t>04</w:t>
      </w:r>
      <w:r w:rsidR="009A3ECF" w:rsidRPr="0007000C">
        <w:t>, udziela gwarancji na sprzedawane przez siebie produkty, tj.</w:t>
      </w:r>
      <w:r>
        <w:t xml:space="preserve"> wkłady kominkowe,</w:t>
      </w:r>
      <w:r w:rsidR="009A3ECF" w:rsidRPr="0007000C">
        <w:t xml:space="preserve"> kasety kominkowe</w:t>
      </w:r>
      <w:r>
        <w:t xml:space="preserve"> i </w:t>
      </w:r>
      <w:r w:rsidRPr="0007000C">
        <w:t>drzwi do kominka</w:t>
      </w:r>
      <w:r w:rsidR="009A3ECF" w:rsidRPr="0007000C">
        <w:t xml:space="preserve">. </w:t>
      </w:r>
    </w:p>
    <w:p w14:paraId="6C4CE7E9" w14:textId="77777777" w:rsidR="009A3ECF" w:rsidRPr="0007000C" w:rsidRDefault="009A3ECF" w:rsidP="009A3ECF">
      <w:pPr>
        <w:jc w:val="center"/>
        <w:rPr>
          <w:b/>
        </w:rPr>
      </w:pPr>
      <w:r w:rsidRPr="0007000C">
        <w:rPr>
          <w:b/>
        </w:rPr>
        <w:t>§ 1</w:t>
      </w:r>
    </w:p>
    <w:p w14:paraId="5D69B63A" w14:textId="77777777" w:rsidR="009A3ECF" w:rsidRPr="0007000C" w:rsidRDefault="009A3ECF" w:rsidP="009A3ECF">
      <w:pPr>
        <w:spacing w:after="120"/>
        <w:jc w:val="center"/>
        <w:rPr>
          <w:b/>
        </w:rPr>
      </w:pPr>
      <w:r w:rsidRPr="0007000C">
        <w:rPr>
          <w:b/>
        </w:rPr>
        <w:t>Warunki gwarancji</w:t>
      </w:r>
    </w:p>
    <w:p w14:paraId="3B80AE28" w14:textId="2C6214DF" w:rsidR="009A3ECF" w:rsidRPr="0007000C" w:rsidRDefault="009A3ECF" w:rsidP="009A3ECF">
      <w:pPr>
        <w:pStyle w:val="Bezodstpw"/>
        <w:numPr>
          <w:ilvl w:val="0"/>
          <w:numId w:val="3"/>
        </w:numPr>
        <w:spacing w:after="120"/>
        <w:ind w:left="360"/>
        <w:jc w:val="both"/>
      </w:pPr>
      <w:r w:rsidRPr="0007000C">
        <w:t xml:space="preserve">Gwarancja obejmuje wyłącznie urządzenia sprzedawane przez </w:t>
      </w:r>
      <w:r w:rsidR="009538B8">
        <w:t>IGNIF</w:t>
      </w:r>
      <w:r w:rsidRPr="0007000C">
        <w:t xml:space="preserve"> oraz przez autoryzowanych dealerów. Karta gwarancyjna musi być ostemplowana przez sprzedawcę, posiadać czytelnie i poprawnie wypełnione wszystkie rubryki bez naniesionych poprawek i skreśleń.</w:t>
      </w:r>
    </w:p>
    <w:p w14:paraId="52A5FB43" w14:textId="77777777" w:rsidR="009A3ECF" w:rsidRPr="0007000C" w:rsidRDefault="009A3ECF" w:rsidP="009A3ECF">
      <w:pPr>
        <w:pStyle w:val="Bezodstpw"/>
        <w:numPr>
          <w:ilvl w:val="0"/>
          <w:numId w:val="3"/>
        </w:numPr>
        <w:spacing w:after="120"/>
        <w:ind w:left="360"/>
        <w:jc w:val="both"/>
      </w:pPr>
      <w:r w:rsidRPr="0007000C">
        <w:t>Okres gwarancji wynosi:</w:t>
      </w:r>
    </w:p>
    <w:p w14:paraId="44A52529" w14:textId="7F49E289" w:rsidR="009A3ECF" w:rsidRPr="0007000C" w:rsidRDefault="009A3ECF" w:rsidP="009A3ECF">
      <w:pPr>
        <w:pStyle w:val="Bezodstpw"/>
        <w:numPr>
          <w:ilvl w:val="1"/>
          <w:numId w:val="3"/>
        </w:numPr>
        <w:spacing w:after="120"/>
        <w:ind w:left="1040"/>
        <w:jc w:val="both"/>
      </w:pPr>
      <w:r w:rsidRPr="0007000C">
        <w:t xml:space="preserve">5 lat na korpus paleniska, korpus kasety kominkowej oraz korpus drzwiczek kominkowych; </w:t>
      </w:r>
    </w:p>
    <w:p w14:paraId="0E8F7E59" w14:textId="77777777" w:rsidR="009A3ECF" w:rsidRPr="0007000C" w:rsidRDefault="009A3ECF" w:rsidP="009A3ECF">
      <w:pPr>
        <w:pStyle w:val="Bezodstpw"/>
        <w:numPr>
          <w:ilvl w:val="1"/>
          <w:numId w:val="3"/>
        </w:numPr>
        <w:spacing w:after="120"/>
        <w:ind w:left="1040"/>
        <w:jc w:val="both"/>
      </w:pPr>
      <w:r w:rsidRPr="0007000C">
        <w:t xml:space="preserve">24 miesiące na uchwyty, oryginalne części zamienne oraz akcesoria; </w:t>
      </w:r>
    </w:p>
    <w:p w14:paraId="31EED7C0" w14:textId="77777777" w:rsidR="009A3ECF" w:rsidRPr="0007000C" w:rsidRDefault="009A3ECF" w:rsidP="009A3ECF">
      <w:pPr>
        <w:pStyle w:val="Bezodstpw"/>
        <w:numPr>
          <w:ilvl w:val="1"/>
          <w:numId w:val="3"/>
        </w:numPr>
        <w:spacing w:after="120"/>
        <w:ind w:left="1040"/>
        <w:jc w:val="both"/>
      </w:pPr>
      <w:r w:rsidRPr="0007000C">
        <w:t xml:space="preserve">6 miesięcy na części mające bezpośredni kontakt z ogniem takie jak: szamot, wermikulit, ruszt, uszczelki oraz szyba ceramiczna. </w:t>
      </w:r>
    </w:p>
    <w:p w14:paraId="32D7BC2A" w14:textId="77777777" w:rsidR="009A3ECF" w:rsidRPr="0007000C" w:rsidRDefault="009A3ECF" w:rsidP="009A3ECF">
      <w:pPr>
        <w:pStyle w:val="Bezodstpw"/>
        <w:numPr>
          <w:ilvl w:val="0"/>
          <w:numId w:val="3"/>
        </w:numPr>
        <w:spacing w:after="120"/>
        <w:ind w:left="360"/>
        <w:jc w:val="both"/>
      </w:pPr>
      <w:r w:rsidRPr="0007000C">
        <w:t xml:space="preserve">Kupujący może wydłużyć czas gwarancji, wykupując dodatkową opcję rozszerzenia czasu obowiązywania gwarancji. </w:t>
      </w:r>
    </w:p>
    <w:p w14:paraId="195A61D0" w14:textId="1560A867" w:rsidR="009A3ECF" w:rsidRPr="0007000C" w:rsidRDefault="009A3ECF" w:rsidP="009A3ECF">
      <w:pPr>
        <w:pStyle w:val="Bezodstpw"/>
        <w:numPr>
          <w:ilvl w:val="0"/>
          <w:numId w:val="3"/>
        </w:numPr>
        <w:spacing w:after="120"/>
        <w:ind w:left="360"/>
        <w:jc w:val="both"/>
      </w:pPr>
      <w:r w:rsidRPr="0007000C">
        <w:t xml:space="preserve">Mając na uwadze fakt, iż produkt musi dotrzeć do Klienta, na karcie gwarancyjnej umieszczona będzie data następnego dnia w </w:t>
      </w:r>
      <w:r w:rsidR="0007000C" w:rsidRPr="0007000C">
        <w:t xml:space="preserve">stosunku do dnia wysyłki towaru. </w:t>
      </w:r>
      <w:r w:rsidRPr="0007000C">
        <w:t xml:space="preserve"> </w:t>
      </w:r>
    </w:p>
    <w:p w14:paraId="3B673823" w14:textId="64674255" w:rsidR="009A3ECF" w:rsidRPr="0007000C" w:rsidRDefault="009A3ECF" w:rsidP="009A3ECF">
      <w:pPr>
        <w:pStyle w:val="Bezodstpw"/>
        <w:numPr>
          <w:ilvl w:val="0"/>
          <w:numId w:val="3"/>
        </w:numPr>
        <w:spacing w:after="480"/>
        <w:ind w:left="360"/>
        <w:jc w:val="both"/>
      </w:pPr>
      <w:r w:rsidRPr="0007000C">
        <w:t>Jeżeli podany numer urządzenia nie</w:t>
      </w:r>
      <w:r w:rsidR="009538B8">
        <w:t xml:space="preserve"> znajduję się w bazie danych IGNIF</w:t>
      </w:r>
      <w:r w:rsidRPr="0007000C">
        <w:t>, serwis może odmówić naprawy gwarancyjnej takiego urządzenia.</w:t>
      </w:r>
    </w:p>
    <w:p w14:paraId="01E16CD0" w14:textId="77777777" w:rsidR="009A3ECF" w:rsidRPr="0007000C" w:rsidRDefault="009A3ECF" w:rsidP="009A3ECF">
      <w:pPr>
        <w:jc w:val="center"/>
        <w:rPr>
          <w:b/>
        </w:rPr>
      </w:pPr>
      <w:r w:rsidRPr="0007000C">
        <w:rPr>
          <w:b/>
        </w:rPr>
        <w:t>§ 2</w:t>
      </w:r>
    </w:p>
    <w:p w14:paraId="40180FB9" w14:textId="77777777" w:rsidR="009A3ECF" w:rsidRPr="0007000C" w:rsidRDefault="009A3ECF" w:rsidP="009A3ECF">
      <w:pPr>
        <w:spacing w:after="120"/>
        <w:jc w:val="center"/>
        <w:rPr>
          <w:b/>
        </w:rPr>
      </w:pPr>
      <w:r w:rsidRPr="0007000C">
        <w:rPr>
          <w:b/>
        </w:rPr>
        <w:t>Zobowiązania gwaranta</w:t>
      </w:r>
    </w:p>
    <w:p w14:paraId="762013D5" w14:textId="77777777" w:rsidR="009A3ECF" w:rsidRPr="0007000C" w:rsidRDefault="009A3ECF" w:rsidP="009A3ECF">
      <w:pPr>
        <w:pStyle w:val="Bezodstpw"/>
        <w:numPr>
          <w:ilvl w:val="0"/>
          <w:numId w:val="5"/>
        </w:numPr>
        <w:spacing w:after="120"/>
        <w:ind w:left="360"/>
        <w:jc w:val="both"/>
      </w:pPr>
      <w:r w:rsidRPr="0007000C">
        <w:t>W okresie gwarancji gwarant zobowiązuje się do bezpłatnej naprawy produktu, jeżeli konieczność naprawy wystąpi w wyniku wady powstałej z przyczyn tkwiących w urządzeniu w momencie jego zakupu (wady produkcyjnej) i nie zostało spowodowane przez użytkowania.</w:t>
      </w:r>
    </w:p>
    <w:p w14:paraId="47A5CB3D" w14:textId="77777777" w:rsidR="009A3ECF" w:rsidRPr="0007000C" w:rsidRDefault="009A3ECF" w:rsidP="009A3ECF">
      <w:pPr>
        <w:pStyle w:val="Bezodstpw"/>
        <w:numPr>
          <w:ilvl w:val="0"/>
          <w:numId w:val="5"/>
        </w:numPr>
        <w:spacing w:after="120"/>
        <w:ind w:left="360"/>
        <w:jc w:val="both"/>
      </w:pPr>
      <w:r w:rsidRPr="0007000C">
        <w:t>Gwarant nie ponosi odpowiedzialności za złe określenie wymiarów przez kupującego w przypadku produktów wykonywanych na indywidualne zamówienie pod konkretne wymiary.</w:t>
      </w:r>
    </w:p>
    <w:p w14:paraId="3E72BC8D" w14:textId="77777777" w:rsidR="009A3ECF" w:rsidRPr="0007000C" w:rsidRDefault="009A3ECF" w:rsidP="009A3ECF"/>
    <w:p w14:paraId="52B83B72" w14:textId="77777777" w:rsidR="009A3ECF" w:rsidRPr="0007000C" w:rsidRDefault="009A3ECF" w:rsidP="009A3ECF">
      <w:pPr>
        <w:jc w:val="center"/>
        <w:rPr>
          <w:b/>
        </w:rPr>
      </w:pPr>
      <w:r w:rsidRPr="0007000C">
        <w:rPr>
          <w:b/>
        </w:rPr>
        <w:t>§ 3</w:t>
      </w:r>
    </w:p>
    <w:p w14:paraId="00CD7689" w14:textId="77777777" w:rsidR="009A3ECF" w:rsidRPr="0007000C" w:rsidRDefault="009A3ECF" w:rsidP="009A3ECF">
      <w:pPr>
        <w:spacing w:after="120"/>
        <w:jc w:val="center"/>
        <w:rPr>
          <w:b/>
        </w:rPr>
      </w:pPr>
      <w:r w:rsidRPr="0007000C">
        <w:rPr>
          <w:b/>
        </w:rPr>
        <w:t>Warunki przyjmowania zgłoszeń gwarancyjnych</w:t>
      </w:r>
    </w:p>
    <w:p w14:paraId="65490B62" w14:textId="29407DE8" w:rsidR="008F5370" w:rsidRPr="0007000C" w:rsidRDefault="009A3ECF" w:rsidP="008F5370">
      <w:pPr>
        <w:pStyle w:val="Akapitzlist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07000C">
        <w:rPr>
          <w:sz w:val="24"/>
          <w:szCs w:val="24"/>
        </w:rPr>
        <w:t>W okresie gwarancyjnym jedynym podmiotem upr</w:t>
      </w:r>
      <w:r w:rsidR="009538B8">
        <w:rPr>
          <w:sz w:val="24"/>
          <w:szCs w:val="24"/>
        </w:rPr>
        <w:t xml:space="preserve">awionym do wykonywania napraw </w:t>
      </w:r>
      <w:r w:rsidRPr="0007000C">
        <w:rPr>
          <w:sz w:val="24"/>
          <w:szCs w:val="24"/>
        </w:rPr>
        <w:t xml:space="preserve">urządzenia jest serwis </w:t>
      </w:r>
      <w:r w:rsidR="009538B8">
        <w:rPr>
          <w:sz w:val="24"/>
          <w:szCs w:val="24"/>
        </w:rPr>
        <w:t>IGNIF</w:t>
      </w:r>
      <w:r w:rsidRPr="0007000C">
        <w:rPr>
          <w:sz w:val="24"/>
          <w:szCs w:val="24"/>
        </w:rPr>
        <w:t>.</w:t>
      </w:r>
    </w:p>
    <w:p w14:paraId="3E468F7C" w14:textId="4BA3D123" w:rsidR="008F5370" w:rsidRPr="0007000C" w:rsidRDefault="008F5370" w:rsidP="008F5370">
      <w:pPr>
        <w:pStyle w:val="Bezodstpw"/>
        <w:numPr>
          <w:ilvl w:val="0"/>
          <w:numId w:val="6"/>
        </w:numPr>
        <w:spacing w:after="120"/>
        <w:ind w:left="360"/>
        <w:jc w:val="both"/>
      </w:pPr>
      <w:r w:rsidRPr="0007000C">
        <w:lastRenderedPageBreak/>
        <w:t>Klient powinien odesłać produkt</w:t>
      </w:r>
      <w:r w:rsidR="009A3ECF" w:rsidRPr="0007000C">
        <w:t xml:space="preserve"> na koszt własny, na adres zwrotu Sprzedawcy z dopiskiem „</w:t>
      </w:r>
      <w:r w:rsidRPr="0007000C">
        <w:t>Gwarancja</w:t>
      </w:r>
      <w:r w:rsidR="009A3ECF" w:rsidRPr="0007000C">
        <w:t xml:space="preserve"> </w:t>
      </w:r>
      <w:r w:rsidR="009538B8">
        <w:t>IGNIF</w:t>
      </w:r>
      <w:r w:rsidR="009A3ECF" w:rsidRPr="0007000C">
        <w:t xml:space="preserve">” wraz z wypełnionym formularzem </w:t>
      </w:r>
      <w:r w:rsidR="0007000C">
        <w:t>zgłoszeniowym</w:t>
      </w:r>
      <w:r w:rsidR="009A3ECF" w:rsidRPr="0007000C">
        <w:t xml:space="preserve">. Istnieje również możliwość przesłać wypełniony formularz drogą poczty elektronicznej na adres sprzedawcy. Koszty poniesione przez Kupującego Sprzedawca zwraca natychmiast po pozytywnym rozpatrzeniu reklamacji. Przesyłki wysyłane za pobraniem nie będą odbierane. </w:t>
      </w:r>
    </w:p>
    <w:p w14:paraId="33FB6808" w14:textId="65533D32" w:rsidR="008F5370" w:rsidRPr="0007000C" w:rsidRDefault="009A3ECF" w:rsidP="008F5370">
      <w:pPr>
        <w:pStyle w:val="Bezodstpw"/>
        <w:numPr>
          <w:ilvl w:val="0"/>
          <w:numId w:val="6"/>
        </w:numPr>
        <w:spacing w:after="120"/>
        <w:ind w:left="360"/>
        <w:jc w:val="both"/>
      </w:pPr>
      <w:r w:rsidRPr="0007000C">
        <w:t>Wady produktu będą us</w:t>
      </w:r>
      <w:r w:rsidR="008F5370" w:rsidRPr="0007000C">
        <w:t xml:space="preserve">unięte w terminie nie dłuższym </w:t>
      </w:r>
      <w:r w:rsidRPr="0007000C">
        <w:t xml:space="preserve">niż 14 dni liczonych od daty przyjęcia urządzenia do naprawy przez serwis </w:t>
      </w:r>
      <w:r w:rsidR="009538B8">
        <w:t>IGNIF</w:t>
      </w:r>
      <w:r w:rsidRPr="0007000C">
        <w:t>.</w:t>
      </w:r>
    </w:p>
    <w:p w14:paraId="4ED2C888" w14:textId="77777777" w:rsidR="008F5370" w:rsidRPr="0007000C" w:rsidRDefault="009A3ECF" w:rsidP="008F5370">
      <w:pPr>
        <w:pStyle w:val="Bezodstpw"/>
        <w:numPr>
          <w:ilvl w:val="0"/>
          <w:numId w:val="6"/>
        </w:numPr>
        <w:spacing w:after="120"/>
        <w:ind w:left="360"/>
        <w:jc w:val="both"/>
      </w:pPr>
      <w:r w:rsidRPr="0007000C">
        <w:t>W przypadku, gdy naprawa wymaga importu części termin może zostać przedłużony.</w:t>
      </w:r>
    </w:p>
    <w:p w14:paraId="0763EA24" w14:textId="77777777" w:rsidR="009A3ECF" w:rsidRPr="0007000C" w:rsidRDefault="009A3ECF" w:rsidP="008F5370">
      <w:pPr>
        <w:pStyle w:val="Bezodstpw"/>
        <w:numPr>
          <w:ilvl w:val="0"/>
          <w:numId w:val="6"/>
        </w:numPr>
        <w:spacing w:after="480"/>
        <w:ind w:left="360"/>
        <w:jc w:val="both"/>
      </w:pPr>
      <w:r w:rsidRPr="0007000C">
        <w:t>Okres gwarancji ulega przedłużeniu o czas naprawy. W przypadku wymiany produktu na nowy okres gwarancyjny zostanie naliczany od początku.</w:t>
      </w:r>
    </w:p>
    <w:p w14:paraId="1F1A2DAA" w14:textId="77777777" w:rsidR="008F5370" w:rsidRPr="0007000C" w:rsidRDefault="008F5370" w:rsidP="008F5370">
      <w:pPr>
        <w:jc w:val="center"/>
        <w:rPr>
          <w:b/>
        </w:rPr>
      </w:pPr>
      <w:r w:rsidRPr="0007000C">
        <w:rPr>
          <w:b/>
        </w:rPr>
        <w:t>§ 4</w:t>
      </w:r>
    </w:p>
    <w:p w14:paraId="4A568A48" w14:textId="77777777" w:rsidR="009A3ECF" w:rsidRPr="0007000C" w:rsidRDefault="008F5370" w:rsidP="008F5370">
      <w:pPr>
        <w:spacing w:after="120"/>
        <w:jc w:val="center"/>
        <w:rPr>
          <w:b/>
        </w:rPr>
      </w:pPr>
      <w:r w:rsidRPr="0007000C">
        <w:rPr>
          <w:b/>
        </w:rPr>
        <w:t>Wyłączenia</w:t>
      </w:r>
    </w:p>
    <w:p w14:paraId="7503B67B" w14:textId="77777777" w:rsidR="008F5370" w:rsidRPr="0007000C" w:rsidRDefault="008F5370" w:rsidP="008F5370">
      <w:pPr>
        <w:pStyle w:val="Bezodstpw"/>
        <w:spacing w:after="120"/>
      </w:pPr>
      <w:r w:rsidRPr="0007000C">
        <w:t>Gwarancja nie obejmuje:</w:t>
      </w:r>
    </w:p>
    <w:p w14:paraId="2A7C9415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z</w:t>
      </w:r>
      <w:r w:rsidR="009A3ECF" w:rsidRPr="0007000C">
        <w:t xml:space="preserve">użyć mechanicznych powstałych na skutek użytkowania </w:t>
      </w:r>
      <w:r w:rsidRPr="0007000C">
        <w:t>produktu (zużycie się produktu),</w:t>
      </w:r>
    </w:p>
    <w:p w14:paraId="0849A5CD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p</w:t>
      </w:r>
      <w:r w:rsidR="009A3ECF" w:rsidRPr="0007000C">
        <w:t>owłoki lakierniczej, która odbarwiła się w skutek zbyt w</w:t>
      </w:r>
      <w:r w:rsidRPr="0007000C">
        <w:t>ysokiego obciążenia temperaturą,</w:t>
      </w:r>
    </w:p>
    <w:p w14:paraId="0C6A577B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u</w:t>
      </w:r>
      <w:r w:rsidR="009A3ECF" w:rsidRPr="0007000C">
        <w:t xml:space="preserve">szczelek, których zużycie </w:t>
      </w:r>
      <w:r w:rsidRPr="0007000C">
        <w:t xml:space="preserve">lub </w:t>
      </w:r>
      <w:r w:rsidR="009A3ECF" w:rsidRPr="0007000C">
        <w:t xml:space="preserve">stwardnienie </w:t>
      </w:r>
      <w:r w:rsidRPr="0007000C">
        <w:t xml:space="preserve">zostało </w:t>
      </w:r>
      <w:r w:rsidR="009A3ECF" w:rsidRPr="0007000C">
        <w:t>spowodowane stosowaniem nieodpowiednich płynów do czyszczeni</w:t>
      </w:r>
      <w:r w:rsidRPr="0007000C">
        <w:t>a szyb,</w:t>
      </w:r>
    </w:p>
    <w:p w14:paraId="66AAD163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s</w:t>
      </w:r>
      <w:r w:rsidR="009A3ECF" w:rsidRPr="0007000C">
        <w:t>zyby ceramicznej – zabrudzenia szyby sadzą lub przypalone pozostałości opału oraz przebarwienia, a także inne zmiany na powierzchni szyby spowodowane zbyt wysoką</w:t>
      </w:r>
      <w:r w:rsidRPr="0007000C">
        <w:t xml:space="preserve"> temperaturą wewnątrz paleniska,</w:t>
      </w:r>
    </w:p>
    <w:p w14:paraId="422FBCA6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u</w:t>
      </w:r>
      <w:r w:rsidR="009A3ECF" w:rsidRPr="0007000C">
        <w:t>szkodzeń powstałych podczas transportu</w:t>
      </w:r>
      <w:r w:rsidRPr="0007000C">
        <w:t>,</w:t>
      </w:r>
    </w:p>
    <w:p w14:paraId="3C65058B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n</w:t>
      </w:r>
      <w:r w:rsidR="009A3ECF" w:rsidRPr="0007000C">
        <w:t>ieprawidłowego przechowywania produktu – powinien być on trzymany wyłą</w:t>
      </w:r>
      <w:r w:rsidRPr="0007000C">
        <w:t>cznie w suchych pomieszczeniach,</w:t>
      </w:r>
    </w:p>
    <w:p w14:paraId="0A928C27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u</w:t>
      </w:r>
      <w:r w:rsidR="009A3ECF" w:rsidRPr="0007000C">
        <w:t>szkodzeń powstałych poprzez niewłaściwe obchodzenie się z elementami delikatnymi takimi jak szkło</w:t>
      </w:r>
      <w:r w:rsidRPr="0007000C">
        <w:t>,</w:t>
      </w:r>
    </w:p>
    <w:p w14:paraId="331761CD" w14:textId="77777777" w:rsidR="008F5370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z</w:t>
      </w:r>
      <w:r w:rsidR="009A3ECF" w:rsidRPr="0007000C">
        <w:t>aniedbań oraz uszkodzeń powstałych w wyniku: niewłaściwego użytkowania, brakiem konserwacji, wadliwym montażem oraz niestosowania się do zaleceń przesłanej</w:t>
      </w:r>
      <w:r w:rsidRPr="0007000C">
        <w:t xml:space="preserve"> instrukcji,</w:t>
      </w:r>
    </w:p>
    <w:p w14:paraId="230FC0B4" w14:textId="77777777" w:rsidR="009A3ECF" w:rsidRPr="0007000C" w:rsidRDefault="008F5370" w:rsidP="008F5370">
      <w:pPr>
        <w:pStyle w:val="Bezodstpw"/>
        <w:numPr>
          <w:ilvl w:val="1"/>
          <w:numId w:val="8"/>
        </w:numPr>
        <w:spacing w:after="120"/>
        <w:ind w:left="723"/>
        <w:jc w:val="both"/>
      </w:pPr>
      <w:r w:rsidRPr="0007000C">
        <w:t>c</w:t>
      </w:r>
      <w:r w:rsidR="009A3ECF" w:rsidRPr="0007000C">
        <w:t>zynności związanych z konserwacją urządzenia (czyszczenia, regulacja, wymiana elementów podlegających naturalnemu zużyciu).</w:t>
      </w:r>
    </w:p>
    <w:p w14:paraId="2E607AF4" w14:textId="77777777" w:rsidR="009A3ECF" w:rsidRPr="0007000C" w:rsidRDefault="009A3ECF" w:rsidP="009A3ECF"/>
    <w:p w14:paraId="4659BA02" w14:textId="77777777" w:rsidR="008F5370" w:rsidRPr="0007000C" w:rsidRDefault="008F5370" w:rsidP="008F5370">
      <w:pPr>
        <w:jc w:val="center"/>
        <w:rPr>
          <w:b/>
        </w:rPr>
      </w:pPr>
      <w:r w:rsidRPr="0007000C">
        <w:rPr>
          <w:b/>
        </w:rPr>
        <w:t>§ 5</w:t>
      </w:r>
    </w:p>
    <w:p w14:paraId="7B41B09F" w14:textId="77777777" w:rsidR="009A3ECF" w:rsidRPr="0007000C" w:rsidRDefault="008F5370" w:rsidP="008F5370">
      <w:pPr>
        <w:spacing w:after="120"/>
        <w:jc w:val="center"/>
        <w:rPr>
          <w:b/>
        </w:rPr>
      </w:pPr>
      <w:r w:rsidRPr="0007000C">
        <w:rPr>
          <w:b/>
        </w:rPr>
        <w:t>Utrata gwarancji</w:t>
      </w:r>
    </w:p>
    <w:p w14:paraId="2221B20F" w14:textId="7CB0EBD9" w:rsidR="009A3ECF" w:rsidRPr="0007000C" w:rsidRDefault="009A3ECF" w:rsidP="008F5370">
      <w:pPr>
        <w:jc w:val="both"/>
      </w:pPr>
      <w:r w:rsidRPr="0007000C">
        <w:t xml:space="preserve">Produkt bezpowrotnie traci gwarancję, w wyniku stwierdzenia zmian technicznych urządzenia, które nie zostały dokonane przez firmę </w:t>
      </w:r>
      <w:r w:rsidR="009538B8">
        <w:t>IGNIF</w:t>
      </w:r>
      <w:bookmarkStart w:id="0" w:name="_GoBack"/>
      <w:bookmarkEnd w:id="0"/>
      <w:r w:rsidRPr="0007000C">
        <w:t>, a także w wyniku dorabiania lub demontażu części.</w:t>
      </w:r>
    </w:p>
    <w:p w14:paraId="01B8AB51" w14:textId="77777777" w:rsidR="009A3ECF" w:rsidRPr="0007000C" w:rsidRDefault="009A3ECF" w:rsidP="009A3ECF">
      <w:pPr>
        <w:spacing w:after="480"/>
        <w:jc w:val="both"/>
      </w:pPr>
    </w:p>
    <w:sectPr w:rsidR="009A3ECF" w:rsidRPr="0007000C" w:rsidSect="007F1C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4B5"/>
    <w:multiLevelType w:val="hybridMultilevel"/>
    <w:tmpl w:val="41F81932"/>
    <w:lvl w:ilvl="0" w:tplc="F12CA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E5B"/>
    <w:multiLevelType w:val="hybridMultilevel"/>
    <w:tmpl w:val="42EE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CB7"/>
    <w:multiLevelType w:val="multilevel"/>
    <w:tmpl w:val="AC32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sz w:val="1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3">
    <w:nsid w:val="2E761F97"/>
    <w:multiLevelType w:val="hybridMultilevel"/>
    <w:tmpl w:val="B94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5A6B"/>
    <w:multiLevelType w:val="hybridMultilevel"/>
    <w:tmpl w:val="3D6CE84C"/>
    <w:lvl w:ilvl="0" w:tplc="5FCCA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70E7"/>
    <w:multiLevelType w:val="hybridMultilevel"/>
    <w:tmpl w:val="74D20606"/>
    <w:lvl w:ilvl="0" w:tplc="1EBA1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70A20"/>
    <w:multiLevelType w:val="hybridMultilevel"/>
    <w:tmpl w:val="88A8069C"/>
    <w:lvl w:ilvl="0" w:tplc="80C4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3113"/>
    <w:multiLevelType w:val="hybridMultilevel"/>
    <w:tmpl w:val="41BC16B4"/>
    <w:lvl w:ilvl="0" w:tplc="D08E6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CF"/>
    <w:rsid w:val="0007000C"/>
    <w:rsid w:val="00610407"/>
    <w:rsid w:val="006B50E5"/>
    <w:rsid w:val="007F1CAA"/>
    <w:rsid w:val="008F5370"/>
    <w:rsid w:val="009538B8"/>
    <w:rsid w:val="009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B3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ECF"/>
    <w:pPr>
      <w:spacing w:after="200" w:line="276" w:lineRule="auto"/>
      <w:ind w:left="720"/>
      <w:contextualSpacing/>
    </w:pPr>
    <w:rPr>
      <w:sz w:val="22"/>
      <w:szCs w:val="20"/>
    </w:rPr>
  </w:style>
  <w:style w:type="paragraph" w:styleId="Bezodstpw">
    <w:name w:val="No Spacing"/>
    <w:uiPriority w:val="1"/>
    <w:qFormat/>
    <w:rsid w:val="009A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3439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Piotr Mielańczuk</cp:lastModifiedBy>
  <cp:revision>3</cp:revision>
  <dcterms:created xsi:type="dcterms:W3CDTF">2016-06-24T08:00:00Z</dcterms:created>
  <dcterms:modified xsi:type="dcterms:W3CDTF">2016-09-05T10:39:00Z</dcterms:modified>
</cp:coreProperties>
</file>